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1" w:rsidRDefault="00734311" w:rsidP="00734311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bookmarkStart w:id="0" w:name="_Toc404598538"/>
      <w:r>
        <w:rPr>
          <w:b/>
          <w:bCs/>
          <w:sz w:val="28"/>
          <w:szCs w:val="28"/>
        </w:rPr>
        <w:t>Общие сведения</w:t>
      </w:r>
      <w:bookmarkEnd w:id="0"/>
      <w:r>
        <w:rPr>
          <w:b/>
          <w:bCs/>
          <w:sz w:val="28"/>
          <w:szCs w:val="28"/>
        </w:rPr>
        <w:t xml:space="preserve"> </w:t>
      </w:r>
    </w:p>
    <w:p w:rsid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</w:t>
      </w:r>
      <w:r w:rsidRPr="00FF4E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FF4E47">
        <w:rPr>
          <w:bCs/>
          <w:sz w:val="28"/>
          <w:szCs w:val="28"/>
        </w:rPr>
        <w:t>(</w:t>
      </w:r>
      <w:r w:rsidRPr="000E67F7">
        <w:rPr>
          <w:bCs/>
          <w:sz w:val="28"/>
          <w:szCs w:val="28"/>
        </w:rPr>
        <w:t>далее – ГИА)  по русскому языку и математике.</w:t>
      </w:r>
    </w:p>
    <w:p w:rsid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98026A">
        <w:rPr>
          <w:bCs/>
          <w:sz w:val="28"/>
          <w:szCs w:val="28"/>
        </w:rPr>
        <w:t xml:space="preserve"> язык и родную литературу  и </w:t>
      </w:r>
      <w:proofErr w:type="gramStart"/>
      <w:r w:rsidRPr="0098026A">
        <w:rPr>
          <w:bCs/>
          <w:sz w:val="28"/>
          <w:szCs w:val="28"/>
        </w:rPr>
        <w:t>выбравших</w:t>
      </w:r>
      <w:proofErr w:type="gramEnd"/>
      <w:r w:rsidRPr="0098026A">
        <w:rPr>
          <w:bCs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734311" w:rsidRPr="006D1DFE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>организация индивидуального отбора при при</w:t>
      </w:r>
      <w:r>
        <w:rPr>
          <w:bCs/>
          <w:sz w:val="28"/>
          <w:szCs w:val="28"/>
        </w:rPr>
        <w:t>ё</w:t>
      </w:r>
      <w:r w:rsidRPr="006D1DFE">
        <w:rPr>
          <w:bCs/>
          <w:sz w:val="28"/>
          <w:szCs w:val="28"/>
        </w:rPr>
        <w:t>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</w:t>
      </w:r>
      <w:proofErr w:type="gramEnd"/>
      <w:r w:rsidRPr="006D1DFE">
        <w:rPr>
          <w:bCs/>
          <w:sz w:val="28"/>
          <w:szCs w:val="28"/>
        </w:rPr>
        <w:t xml:space="preserve">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6"/>
          <w:bCs/>
          <w:szCs w:val="28"/>
        </w:rPr>
        <w:footnoteReference w:id="1"/>
      </w:r>
      <w:r>
        <w:rPr>
          <w:rStyle w:val="a6"/>
          <w:bCs/>
          <w:szCs w:val="28"/>
        </w:rPr>
        <w:footnoteReference w:id="2"/>
      </w:r>
    </w:p>
    <w:p w:rsidR="00734311" w:rsidRP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</w:t>
      </w:r>
      <w:r>
        <w:rPr>
          <w:bCs/>
          <w:sz w:val="28"/>
          <w:szCs w:val="28"/>
        </w:rPr>
        <w:t>,</w:t>
      </w:r>
      <w:r w:rsidRPr="006D1DFE">
        <w:rPr>
          <w:bCs/>
          <w:sz w:val="28"/>
          <w:szCs w:val="28"/>
        </w:rPr>
        <w:t xml:space="preserve"> соответствующим учебным предметам выбранного профиля. </w:t>
      </w:r>
      <w:r w:rsidRPr="00734311">
        <w:rPr>
          <w:bCs/>
          <w:sz w:val="28"/>
          <w:szCs w:val="28"/>
        </w:rPr>
        <w:t>Образовательная организация не вправе самостоятельно устанавливать данное требование.</w:t>
      </w:r>
    </w:p>
    <w:p w:rsid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ГИА проводится в формах - основного государственного экзамена (далее – ОГЭ) и государственного выпускного экзамена (далее – ГВЭ).</w:t>
      </w:r>
    </w:p>
    <w:p w:rsid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ГИА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734311" w:rsidRDefault="00734311" w:rsidP="0073431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ГВЭ – форма ГИА по образовательным программам основного общего образования в виде </w:t>
      </w:r>
      <w:r w:rsidRPr="00E65C8F">
        <w:rPr>
          <w:bCs/>
          <w:sz w:val="28"/>
          <w:szCs w:val="28"/>
        </w:rPr>
        <w:t xml:space="preserve">письменных и устных экзаменов с использованием текстов, тем, заданий, билетов. </w:t>
      </w:r>
    </w:p>
    <w:p w:rsidR="00734311" w:rsidRDefault="00734311" w:rsidP="007343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34311" w:rsidRDefault="00734311" w:rsidP="0073431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734311" w:rsidRDefault="00734311" w:rsidP="00734311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F4E47">
        <w:rPr>
          <w:sz w:val="28"/>
          <w:szCs w:val="28"/>
        </w:rPr>
        <w:t>удовлетворительных</w:t>
      </w:r>
      <w:proofErr w:type="gramEnd"/>
      <w:r w:rsidRPr="00FF4E47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Участниками ГИА являются: </w:t>
      </w:r>
    </w:p>
    <w:p w:rsidR="00734311" w:rsidRDefault="00734311" w:rsidP="007343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допущенные в текущем году к ГИА.</w:t>
      </w:r>
      <w:proofErr w:type="gramEnd"/>
    </w:p>
    <w:p w:rsidR="00734311" w:rsidRDefault="00734311" w:rsidP="00734311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bookmarkStart w:id="1" w:name="_Toc404598539"/>
      <w:r w:rsidRPr="001F5C67">
        <w:rPr>
          <w:b/>
          <w:bCs/>
          <w:sz w:val="28"/>
          <w:szCs w:val="28"/>
        </w:rPr>
        <w:t>Организация подачи заявления на участие в ГИА</w:t>
      </w:r>
      <w:bookmarkEnd w:id="1"/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ГИА обучающимся необходимо </w:t>
      </w:r>
      <w:r w:rsidRPr="00734311">
        <w:rPr>
          <w:bCs/>
          <w:sz w:val="28"/>
          <w:szCs w:val="28"/>
          <w:u w:val="single"/>
        </w:rPr>
        <w:t>до 1 марта</w:t>
      </w:r>
      <w:r w:rsidRPr="007343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(включительно) текущего года </w:t>
      </w:r>
      <w:r>
        <w:rPr>
          <w:sz w:val="28"/>
          <w:szCs w:val="28"/>
        </w:rPr>
        <w:t>подать заявление с перечнем выбранных учебных предметов и согласие на обработку персональных данных (обязательное условие)</w:t>
      </w:r>
      <w:r w:rsidRPr="00AD532A">
        <w:t xml:space="preserve"> </w:t>
      </w:r>
      <w:r w:rsidRPr="006D1256">
        <w:rPr>
          <w:sz w:val="28"/>
        </w:rPr>
        <w:t>в</w:t>
      </w:r>
      <w:r>
        <w:t xml:space="preserve"> </w:t>
      </w:r>
      <w:r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  <w:proofErr w:type="gramEnd"/>
    </w:p>
    <w:p w:rsidR="00734311" w:rsidRDefault="00734311" w:rsidP="00734311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ГИА подается в места регистрации, определенные ОИВ и опубликованные на </w:t>
      </w:r>
      <w:r w:rsidRPr="0098026A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8026A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ОИВ до                  31 декабря текущего года.</w:t>
      </w:r>
      <w:r w:rsidRPr="00396CB3">
        <w:t xml:space="preserve">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>
        <w:rPr>
          <w:sz w:val="28"/>
          <w:szCs w:val="28"/>
        </w:rPr>
        <w:t xml:space="preserve"> </w:t>
      </w:r>
    </w:p>
    <w:p w:rsidR="00734311" w:rsidRPr="000F30D0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</w:t>
      </w:r>
      <w:r w:rsidRPr="000F30D0">
        <w:rPr>
          <w:color w:val="000000"/>
          <w:sz w:val="28"/>
          <w:szCs w:val="28"/>
        </w:rPr>
        <w:t>(</w:t>
      </w:r>
      <w:hyperlink r:id="rId7" w:history="1">
        <w:r w:rsidRPr="000F30D0">
          <w:rPr>
            <w:rStyle w:val="a3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ОИВ субъекта </w:t>
      </w:r>
      <w:r>
        <w:rPr>
          <w:color w:val="000000"/>
          <w:sz w:val="28"/>
          <w:szCs w:val="28"/>
        </w:rPr>
        <w:lastRenderedPageBreak/>
        <w:t>Российской Федерации</w:t>
      </w:r>
      <w:r w:rsidRPr="000F30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F5C67">
        <w:rPr>
          <w:color w:val="000000"/>
          <w:sz w:val="28"/>
          <w:szCs w:val="28"/>
        </w:rPr>
        <w:t xml:space="preserve">ГЭК </w:t>
      </w:r>
      <w:r w:rsidRPr="001F5C67">
        <w:rPr>
          <w:sz w:val="28"/>
          <w:szCs w:val="28"/>
        </w:rPr>
        <w:t>вправе принимать решение о допуске к сдаче ГИА в дополнительные сроки обучающихся и выпускников прошлых лет, не имеющих возможности участвовать в ГИА в основные сроки проведения ГИА по религиозным убеждениям, а также считать такие причины уважительными.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 xml:space="preserve">После </w:t>
      </w:r>
      <w:r w:rsidRPr="00734311">
        <w:rPr>
          <w:bCs/>
          <w:sz w:val="28"/>
          <w:szCs w:val="28"/>
        </w:rPr>
        <w:t xml:space="preserve">1 марта </w:t>
      </w:r>
      <w:r w:rsidRPr="00734311">
        <w:rPr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обучающиеся подают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734311">
        <w:rPr>
          <w:sz w:val="28"/>
          <w:szCs w:val="28"/>
        </w:rPr>
        <w:t>позднее</w:t>
      </w:r>
      <w:proofErr w:type="gramEnd"/>
      <w:r w:rsidRPr="00734311">
        <w:rPr>
          <w:sz w:val="28"/>
          <w:szCs w:val="28"/>
        </w:rPr>
        <w:t xml:space="preserve"> чем за две недели до начала соответствующих </w:t>
      </w:r>
      <w:r w:rsidRPr="00AD532A">
        <w:rPr>
          <w:sz w:val="28"/>
          <w:szCs w:val="28"/>
        </w:rPr>
        <w:t>экзаменов.</w:t>
      </w:r>
      <w:r>
        <w:rPr>
          <w:sz w:val="28"/>
          <w:szCs w:val="28"/>
        </w:rPr>
        <w:t xml:space="preserve">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734311" w:rsidRPr="00140328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81BE2">
        <w:rPr>
          <w:sz w:val="28"/>
          <w:szCs w:val="28"/>
        </w:rPr>
        <w:t>Обучающиеся с ограниченными возможностями здоровья,                        дети-инвалиды и инвалиды, а также обучающиеся, освоившие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обучающиеся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</w:t>
      </w:r>
      <w:proofErr w:type="gramEnd"/>
      <w:r w:rsidRPr="00C81BE2">
        <w:rPr>
          <w:sz w:val="28"/>
          <w:szCs w:val="28"/>
        </w:rPr>
        <w:t xml:space="preserve"> своей структуре специализированные структурные образовательные подразделения</w:t>
      </w:r>
      <w:r>
        <w:rPr>
          <w:sz w:val="28"/>
          <w:szCs w:val="28"/>
        </w:rPr>
        <w:t xml:space="preserve">, проходят ГИА в форме ГВЭ. Однако </w:t>
      </w:r>
      <w:r w:rsidRPr="00EF0252">
        <w:rPr>
          <w:sz w:val="28"/>
          <w:szCs w:val="28"/>
        </w:rPr>
        <w:t xml:space="preserve">по отдельным учебным предметам </w:t>
      </w:r>
      <w:r w:rsidRPr="00C81BE2">
        <w:rPr>
          <w:sz w:val="28"/>
          <w:szCs w:val="28"/>
        </w:rPr>
        <w:t xml:space="preserve">при желании имеют право пройти ГИА в форме ОГЭ.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 xml:space="preserve">Обучающиеся с ограниченными возможностями здоровья </w:t>
      </w:r>
      <w:r w:rsidRPr="00734311">
        <w:rPr>
          <w:sz w:val="28"/>
          <w:szCs w:val="28"/>
          <w:u w:val="single"/>
        </w:rPr>
        <w:t>при подаче заявления</w:t>
      </w:r>
      <w:r w:rsidRPr="00734311">
        <w:rPr>
          <w:sz w:val="28"/>
          <w:szCs w:val="28"/>
        </w:rPr>
        <w:t xml:space="preserve">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34311">
        <w:rPr>
          <w:sz w:val="28"/>
          <w:szCs w:val="28"/>
        </w:rPr>
        <w:t>медико-социальной</w:t>
      </w:r>
      <w:proofErr w:type="gramEnd"/>
      <w:r w:rsidRPr="00734311">
        <w:rPr>
          <w:sz w:val="28"/>
          <w:szCs w:val="28"/>
        </w:rPr>
        <w:t xml:space="preserve"> экспертизы.</w:t>
      </w:r>
    </w:p>
    <w:p w:rsidR="008F1B42" w:rsidRPr="00734311" w:rsidRDefault="008F1B42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34311" w:rsidRPr="00734311" w:rsidRDefault="00734311" w:rsidP="00734311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ОГЭ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 ОГЭ должен иметь при себе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или перьевую ручку с чернилами черного цвета.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словарем, выданным организаторами в аудитории.</w:t>
      </w:r>
      <w:r w:rsidRPr="00E35B2E">
        <w:t xml:space="preserve"> </w:t>
      </w:r>
      <w:proofErr w:type="gramStart"/>
      <w:r w:rsidRPr="00E35B2E">
        <w:rPr>
          <w:sz w:val="28"/>
          <w:szCs w:val="28"/>
        </w:rPr>
        <w:t>Словари предоставляются образовательной организацией</w:t>
      </w:r>
      <w:r>
        <w:rPr>
          <w:sz w:val="28"/>
          <w:szCs w:val="28"/>
        </w:rPr>
        <w:t>,</w:t>
      </w:r>
      <w:r w:rsidRPr="00E35B2E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которой организован</w:t>
      </w:r>
      <w:r w:rsidRPr="00E35B2E">
        <w:rPr>
          <w:sz w:val="28"/>
          <w:szCs w:val="28"/>
        </w:rPr>
        <w:t xml:space="preserve"> ППЭ, либо образовательными организациями, </w:t>
      </w:r>
      <w:r>
        <w:rPr>
          <w:sz w:val="28"/>
          <w:szCs w:val="28"/>
        </w:rPr>
        <w:t>об</w:t>
      </w:r>
      <w:r w:rsidRPr="00E35B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35B2E">
        <w:rPr>
          <w:sz w:val="28"/>
          <w:szCs w:val="28"/>
        </w:rPr>
        <w:t>щиеся которых сдают экзамен в ППЭ.</w:t>
      </w:r>
      <w:proofErr w:type="gramEnd"/>
      <w:r>
        <w:rPr>
          <w:sz w:val="28"/>
          <w:szCs w:val="28"/>
        </w:rPr>
        <w:t xml:space="preserve"> Пользование личными орфографическими словарями</w:t>
      </w:r>
      <w:r w:rsidRPr="00EE58D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ОГЭ запрещено.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 – справочные материалы), участник ОГЭ получает вместе с экзаменационными материалами. </w:t>
      </w:r>
      <w:r w:rsidRPr="00EE58D3">
        <w:rPr>
          <w:sz w:val="28"/>
          <w:szCs w:val="28"/>
        </w:rPr>
        <w:t xml:space="preserve">Пользование личными </w:t>
      </w:r>
      <w:r>
        <w:rPr>
          <w:sz w:val="28"/>
          <w:szCs w:val="28"/>
        </w:rPr>
        <w:t>справочными материалами</w:t>
      </w:r>
      <w:r w:rsidRPr="00EE58D3">
        <w:rPr>
          <w:sz w:val="28"/>
          <w:szCs w:val="28"/>
        </w:rPr>
        <w:t xml:space="preserve"> участникам ОГЭ запрещено</w:t>
      </w:r>
      <w:r>
        <w:rPr>
          <w:sz w:val="28"/>
          <w:szCs w:val="28"/>
        </w:rPr>
        <w:t>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ОГЭ получит вместе с экзаменационными материалами.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физике участнику ОГЭ разрешается иметь при себе и пользоваться непрограммируемым калькулятором. Необходимое лабораторное оборудование </w:t>
      </w:r>
      <w:r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географии участнику ОГЭ разрешается иметь при себе и пользоваться непрограммируемым калькулятором и линейкой.  </w:t>
      </w:r>
      <w:proofErr w:type="gramStart"/>
      <w:r w:rsidRPr="00734311">
        <w:rPr>
          <w:sz w:val="28"/>
          <w:szCs w:val="28"/>
          <w:u w:val="single"/>
        </w:rPr>
        <w:t>Географические атласы</w:t>
      </w:r>
      <w:r w:rsidRPr="00734311">
        <w:rPr>
          <w:sz w:val="28"/>
          <w:szCs w:val="28"/>
        </w:rPr>
        <w:t xml:space="preserve"> за 7, 8 и 9 классы</w:t>
      </w:r>
      <w:r w:rsidRPr="00734311">
        <w:t xml:space="preserve"> </w:t>
      </w:r>
      <w:r w:rsidRPr="00734311">
        <w:rPr>
          <w:sz w:val="28"/>
          <w:szCs w:val="28"/>
        </w:rPr>
        <w:t xml:space="preserve">предоставляются образовательной организацией, на базе которой организован </w:t>
      </w:r>
      <w:r w:rsidRPr="00A04F9C">
        <w:rPr>
          <w:sz w:val="28"/>
          <w:szCs w:val="28"/>
        </w:rPr>
        <w:t xml:space="preserve">ППЭ, либо образовательными организациями, </w:t>
      </w:r>
      <w:r>
        <w:rPr>
          <w:sz w:val="28"/>
          <w:szCs w:val="28"/>
        </w:rPr>
        <w:t>об</w:t>
      </w:r>
      <w:r w:rsidRPr="00A04F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04F9C">
        <w:rPr>
          <w:sz w:val="28"/>
          <w:szCs w:val="28"/>
        </w:rPr>
        <w:t>щиеся которых сдают экзамен в ППЭ.</w:t>
      </w:r>
      <w:proofErr w:type="gramEnd"/>
      <w:r w:rsidRPr="00A04F9C">
        <w:rPr>
          <w:sz w:val="28"/>
          <w:szCs w:val="28"/>
        </w:rPr>
        <w:t xml:space="preserve"> Пользование личными </w:t>
      </w:r>
      <w:r>
        <w:rPr>
          <w:sz w:val="28"/>
          <w:szCs w:val="28"/>
        </w:rPr>
        <w:t>г</w:t>
      </w:r>
      <w:r w:rsidRPr="00A04F9C">
        <w:rPr>
          <w:sz w:val="28"/>
          <w:szCs w:val="28"/>
        </w:rPr>
        <w:t>еографически</w:t>
      </w:r>
      <w:r>
        <w:rPr>
          <w:sz w:val="28"/>
          <w:szCs w:val="28"/>
        </w:rPr>
        <w:t>ми</w:t>
      </w:r>
      <w:r w:rsidRPr="00A04F9C">
        <w:rPr>
          <w:sz w:val="28"/>
          <w:szCs w:val="28"/>
        </w:rPr>
        <w:t xml:space="preserve"> атлас</w:t>
      </w:r>
      <w:r>
        <w:rPr>
          <w:sz w:val="28"/>
          <w:szCs w:val="28"/>
        </w:rPr>
        <w:t>ами</w:t>
      </w:r>
      <w:r w:rsidRPr="00A04F9C">
        <w:rPr>
          <w:sz w:val="28"/>
          <w:szCs w:val="28"/>
        </w:rPr>
        <w:t xml:space="preserve"> участникам ОГЭ запрещено.</w:t>
      </w:r>
      <w:r>
        <w:rPr>
          <w:sz w:val="28"/>
          <w:szCs w:val="28"/>
        </w:rPr>
        <w:t xml:space="preserve">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</w:t>
      </w:r>
      <w:r>
        <w:rPr>
          <w:sz w:val="28"/>
          <w:szCs w:val="28"/>
        </w:rPr>
        <w:lastRenderedPageBreak/>
        <w:t xml:space="preserve">пользоваться линейкой, карандашом и </w:t>
      </w:r>
      <w:r w:rsidRPr="000333A1">
        <w:rPr>
          <w:sz w:val="28"/>
          <w:szCs w:val="28"/>
        </w:rPr>
        <w:t>непрограммируемым калькулятором</w:t>
      </w:r>
      <w:r>
        <w:rPr>
          <w:sz w:val="28"/>
          <w:szCs w:val="28"/>
        </w:rPr>
        <w:t>.</w:t>
      </w:r>
    </w:p>
    <w:p w:rsidR="00734311" w:rsidRP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 xml:space="preserve">На экзамене по литературе </w:t>
      </w:r>
      <w:r w:rsidRPr="00734311" w:rsidDel="000333A1">
        <w:rPr>
          <w:sz w:val="28"/>
          <w:szCs w:val="28"/>
        </w:rPr>
        <w:t xml:space="preserve"> </w:t>
      </w:r>
      <w:r w:rsidRPr="00734311">
        <w:rPr>
          <w:sz w:val="28"/>
          <w:szCs w:val="28"/>
        </w:rPr>
        <w:t>участнику ОГЭ</w:t>
      </w:r>
      <w:r w:rsidRPr="00734311">
        <w:t xml:space="preserve"> </w:t>
      </w:r>
      <w:r w:rsidRPr="00734311">
        <w:rPr>
          <w:sz w:val="28"/>
          <w:szCs w:val="28"/>
        </w:rPr>
        <w:t xml:space="preserve">разрешается пользоваться текстами художественных произведений и сборниками лирики. 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 xml:space="preserve">В день экзамена участнику ОГЭ запрещается иметь при себе средства </w:t>
      </w:r>
      <w:r w:rsidRPr="00114896">
        <w:rPr>
          <w:sz w:val="28"/>
          <w:szCs w:val="28"/>
        </w:rPr>
        <w:t>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>.</w:t>
      </w:r>
      <w:r w:rsidRPr="00114896">
        <w:rPr>
          <w:sz w:val="28"/>
          <w:szCs w:val="28"/>
        </w:rPr>
        <w:t xml:space="preserve"> 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подходит к информационному стенду 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</w:t>
      </w:r>
      <w:r>
        <w:rPr>
          <w:sz w:val="28"/>
          <w:szCs w:val="28"/>
        </w:rPr>
        <w:t xml:space="preserve"> </w:t>
      </w:r>
      <w:r w:rsidRPr="00A3435C">
        <w:rPr>
          <w:sz w:val="28"/>
          <w:szCs w:val="28"/>
        </w:rPr>
        <w:t>совместно с организаторами проверяют наличие документов</w:t>
      </w:r>
      <w:r>
        <w:rPr>
          <w:sz w:val="28"/>
          <w:szCs w:val="28"/>
        </w:rPr>
        <w:t>, удостоверяющих личность,</w:t>
      </w:r>
      <w:r w:rsidRPr="00A3435C">
        <w:rPr>
          <w:sz w:val="28"/>
          <w:szCs w:val="28"/>
        </w:rPr>
        <w:t xml:space="preserve"> у обучающихся</w:t>
      </w:r>
      <w:r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 xml:space="preserve">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A3435C">
        <w:rPr>
          <w:sz w:val="28"/>
          <w:szCs w:val="28"/>
        </w:rPr>
        <w:t>данный</w:t>
      </w:r>
      <w:proofErr w:type="gramEnd"/>
      <w:r w:rsidRPr="00A3435C">
        <w:rPr>
          <w:sz w:val="28"/>
          <w:szCs w:val="28"/>
        </w:rPr>
        <w:t xml:space="preserve"> ППЭ.</w:t>
      </w:r>
    </w:p>
    <w:p w:rsidR="00734311" w:rsidRPr="00EF0252" w:rsidRDefault="00734311" w:rsidP="00734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ППЭ участник ОГЭ оставляет в специально выделенном в </w:t>
      </w:r>
      <w:r w:rsidRPr="00EF0252">
        <w:rPr>
          <w:sz w:val="28"/>
          <w:szCs w:val="28"/>
        </w:rPr>
        <w:t xml:space="preserve"> здании (комплексе зданий), где расположен ППЭ, </w:t>
      </w:r>
      <w:r>
        <w:rPr>
          <w:sz w:val="28"/>
          <w:szCs w:val="28"/>
        </w:rPr>
        <w:t xml:space="preserve">месте личные вещи,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разрешенных для использования на экзамене.</w:t>
      </w:r>
      <w:r w:rsidRPr="00EF0252">
        <w:rPr>
          <w:sz w:val="28"/>
          <w:szCs w:val="28"/>
        </w:rPr>
        <w:t xml:space="preserve"> </w:t>
      </w:r>
    </w:p>
    <w:p w:rsidR="00734311" w:rsidRDefault="00734311" w:rsidP="00734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Pr="00151F6B">
        <w:rPr>
          <w:sz w:val="28"/>
          <w:szCs w:val="28"/>
        </w:rPr>
        <w:t xml:space="preserve">Организаторы информируют обучающихся о том, что записи </w:t>
      </w:r>
      <w:proofErr w:type="gramStart"/>
      <w:r w:rsidRPr="00151F6B">
        <w:rPr>
          <w:sz w:val="28"/>
          <w:szCs w:val="28"/>
        </w:rPr>
        <w:t>на</w:t>
      </w:r>
      <w:proofErr w:type="gramEnd"/>
      <w:r w:rsidRPr="00151F6B">
        <w:rPr>
          <w:sz w:val="28"/>
          <w:szCs w:val="28"/>
        </w:rPr>
        <w:t xml:space="preserve"> </w:t>
      </w:r>
      <w:proofErr w:type="gramStart"/>
      <w:r w:rsidRPr="00151F6B">
        <w:rPr>
          <w:sz w:val="28"/>
          <w:szCs w:val="28"/>
        </w:rPr>
        <w:t>КИМ</w:t>
      </w:r>
      <w:proofErr w:type="gramEnd"/>
      <w:r w:rsidRPr="00151F6B">
        <w:rPr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 xml:space="preserve">экзаменационные материалы (КИМ, бланки для записи ответов, </w:t>
      </w:r>
      <w:r w:rsidRPr="00AB283E">
        <w:rPr>
          <w:sz w:val="28"/>
          <w:szCs w:val="28"/>
        </w:rPr>
        <w:t>черновики</w:t>
      </w:r>
      <w:r>
        <w:rPr>
          <w:sz w:val="28"/>
          <w:szCs w:val="28"/>
        </w:rPr>
        <w:t>,</w:t>
      </w:r>
      <w:r w:rsidRPr="00AB283E">
        <w:rPr>
          <w:sz w:val="28"/>
          <w:szCs w:val="28"/>
        </w:rPr>
        <w:t xml:space="preserve"> разрешенные к использованию справочные материалы</w:t>
      </w:r>
      <w:r>
        <w:rPr>
          <w:sz w:val="28"/>
          <w:szCs w:val="28"/>
        </w:rPr>
        <w:t>, лабораторное оборудование (при необходимости)).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</w:t>
      </w:r>
      <w:r>
        <w:rPr>
          <w:sz w:val="28"/>
          <w:szCs w:val="28"/>
        </w:rPr>
        <w:lastRenderedPageBreak/>
        <w:t xml:space="preserve">поля бланков. </w:t>
      </w:r>
      <w:r w:rsidRPr="00151F6B">
        <w:rPr>
          <w:sz w:val="28"/>
          <w:szCs w:val="28"/>
        </w:rPr>
        <w:t xml:space="preserve">Организаторы проверяют правильность заполнения </w:t>
      </w:r>
      <w:proofErr w:type="gramStart"/>
      <w:r w:rsidRPr="00151F6B">
        <w:rPr>
          <w:sz w:val="28"/>
          <w:szCs w:val="28"/>
        </w:rPr>
        <w:t>обучающимися</w:t>
      </w:r>
      <w:proofErr w:type="gramEnd"/>
      <w:r w:rsidRPr="00151F6B">
        <w:rPr>
          <w:sz w:val="28"/>
          <w:szCs w:val="28"/>
        </w:rPr>
        <w:t xml:space="preserve">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 организатор объявляет начало экзамена </w:t>
      </w:r>
      <w:r w:rsidRPr="001C037A">
        <w:rPr>
          <w:sz w:val="28"/>
          <w:szCs w:val="28"/>
        </w:rPr>
        <w:t xml:space="preserve">и фиксирует время его начала на доске (стенде), </w:t>
      </w:r>
      <w:r>
        <w:rPr>
          <w:sz w:val="28"/>
          <w:szCs w:val="28"/>
        </w:rPr>
        <w:t xml:space="preserve"> затем участник ОГЭ приступает к выполнению экзаменационной работы.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Pr="00507E10">
        <w:t xml:space="preserve"> </w:t>
      </w:r>
      <w:r w:rsidRPr="00151F6B">
        <w:rPr>
          <w:sz w:val="28"/>
          <w:szCs w:val="28"/>
        </w:rPr>
        <w:t xml:space="preserve">Дополнительный бланк </w:t>
      </w:r>
      <w:r w:rsidRPr="00507E10">
        <w:rPr>
          <w:sz w:val="28"/>
          <w:szCs w:val="28"/>
        </w:rPr>
        <w:t>выдается участнику</w:t>
      </w:r>
      <w:r w:rsidRPr="005F6339">
        <w:rPr>
          <w:sz w:val="28"/>
          <w:szCs w:val="28"/>
        </w:rPr>
        <w:t xml:space="preserve"> ОГЭ при условии заполнения </w:t>
      </w:r>
      <w:r w:rsidRPr="00734311">
        <w:rPr>
          <w:sz w:val="28"/>
          <w:szCs w:val="28"/>
        </w:rPr>
        <w:t xml:space="preserve">основного бланка с обеих сторон. При </w:t>
      </w:r>
      <w:r>
        <w:rPr>
          <w:sz w:val="28"/>
          <w:szCs w:val="28"/>
        </w:rPr>
        <w:t xml:space="preserve">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КИМ.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предметам;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 xml:space="preserve">Иные вещи обучающиеся оставляют в специально выделенном в </w:t>
      </w:r>
      <w:r w:rsidRPr="00745AAA">
        <w:rPr>
          <w:sz w:val="28"/>
          <w:szCs w:val="28"/>
        </w:rPr>
        <w:t xml:space="preserve">здании (комплексе зданий), где </w:t>
      </w:r>
      <w:proofErr w:type="gramStart"/>
      <w:r w:rsidRPr="00745AAA">
        <w:rPr>
          <w:sz w:val="28"/>
          <w:szCs w:val="28"/>
        </w:rPr>
        <w:t>расположен</w:t>
      </w:r>
      <w:proofErr w:type="gramEnd"/>
      <w:r w:rsidRPr="00745AAA">
        <w:rPr>
          <w:sz w:val="28"/>
          <w:szCs w:val="28"/>
        </w:rPr>
        <w:t xml:space="preserve"> ППЭ,</w:t>
      </w:r>
      <w:r>
        <w:rPr>
          <w:sz w:val="28"/>
          <w:szCs w:val="28"/>
        </w:rPr>
        <w:t xml:space="preserve"> </w:t>
      </w:r>
      <w:r w:rsidRPr="00627F7F">
        <w:rPr>
          <w:sz w:val="28"/>
          <w:szCs w:val="28"/>
        </w:rPr>
        <w:t>месте для личных вещей обучающихся.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</w:t>
      </w:r>
      <w:r w:rsidRPr="00D5549D">
        <w:rPr>
          <w:sz w:val="28"/>
          <w:szCs w:val="28"/>
        </w:rPr>
        <w:lastRenderedPageBreak/>
        <w:t xml:space="preserve">экзаменационных работ. </w:t>
      </w:r>
      <w:r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734311" w:rsidRPr="00AC7722" w:rsidRDefault="00734311" w:rsidP="0073431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Если участник ЕГЭ опоздал на экзамен, он допускается к сдаче ЕГЭ в установленном порядке, при этом время окончания экзамена не продлевается.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в резервные дни, предусмотренные расписанием.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2" w:name="_Ref369009104"/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2"/>
      <w:r>
        <w:rPr>
          <w:color w:val="000000"/>
          <w:sz w:val="28"/>
          <w:szCs w:val="28"/>
        </w:rPr>
        <w:t>.</w:t>
      </w:r>
      <w:proofErr w:type="gramEnd"/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734311" w:rsidRP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</w:t>
      </w:r>
      <w:r w:rsidRPr="00734311">
        <w:rPr>
          <w:sz w:val="28"/>
          <w:szCs w:val="28"/>
        </w:rPr>
        <w:t xml:space="preserve">увеличивается на 1,5 часа.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Участники ОГЭ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114298">
        <w:rPr>
          <w:color w:val="000000"/>
          <w:sz w:val="28"/>
          <w:szCs w:val="28"/>
        </w:rPr>
        <w:t>сурдопереводчик</w:t>
      </w:r>
      <w:proofErr w:type="spellEnd"/>
      <w:r>
        <w:rPr>
          <w:color w:val="000000"/>
          <w:sz w:val="28"/>
          <w:szCs w:val="28"/>
        </w:rPr>
        <w:t>.</w:t>
      </w:r>
    </w:p>
    <w:p w:rsidR="00734311" w:rsidRPr="00114298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 xml:space="preserve">с нарушением опорно-двигательного аппарата                      </w:t>
      </w:r>
      <w:r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734311" w:rsidRP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>Во время проведения экзамена для участников ОГЭ с ограниченными возможностями здоровья  организуются питание и перерывы для проведения необходимых медико-профилактических процедур.</w:t>
      </w:r>
    </w:p>
    <w:p w:rsidR="00734311" w:rsidRP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4311">
        <w:rPr>
          <w:sz w:val="28"/>
          <w:szCs w:val="28"/>
        </w:rPr>
        <w:t>Для лиц, имеющих медицинские основания для обучения на дому, а также  соответствующие рекомендации психолого-медико-педагогической комиссии, экзамен может быть организован на дому. ППЭ на дому организовывается в соответствии с требованиями Порядка. Во время проведения экзамена на дому присутствуют – не менее одного организатора, уполномоченный член ГЭК. ППЭ на дому оснащается системой видеонаблюдения в режиме «офлайн».</w:t>
      </w:r>
    </w:p>
    <w:p w:rsidR="00734311" w:rsidRPr="00734311" w:rsidRDefault="00734311" w:rsidP="007343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условиями повторного допуска к сдаче экзаменов в текущем году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734311" w:rsidRPr="009571DB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734311" w:rsidRPr="009571DB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71DB">
        <w:rPr>
          <w:sz w:val="28"/>
          <w:szCs w:val="28"/>
        </w:rPr>
        <w:t>получившие</w:t>
      </w:r>
      <w:proofErr w:type="gramEnd"/>
      <w:r w:rsidRPr="009571DB">
        <w:rPr>
          <w:sz w:val="28"/>
          <w:szCs w:val="28"/>
        </w:rPr>
        <w:t xml:space="preserve"> на ГИА неудовлетворительный результат по одному из обязательных учебных предметов, </w:t>
      </w:r>
    </w:p>
    <w:p w:rsidR="00734311" w:rsidRPr="009571DB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734311" w:rsidRPr="009571DB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571DB">
        <w:rPr>
          <w:sz w:val="28"/>
          <w:szCs w:val="28"/>
        </w:rPr>
        <w:t>апелляция</w:t>
      </w:r>
      <w:proofErr w:type="gramEnd"/>
      <w:r w:rsidRPr="009571DB">
        <w:rPr>
          <w:sz w:val="28"/>
          <w:szCs w:val="28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34311" w:rsidRDefault="00734311" w:rsidP="00734311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734311" w:rsidRPr="000F30D0" w:rsidRDefault="00734311" w:rsidP="00734311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</w:t>
      </w:r>
      <w:r w:rsidRPr="00CE58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  <w:r>
        <w:rPr>
          <w:sz w:val="28"/>
          <w:szCs w:val="28"/>
        </w:rPr>
        <w:t xml:space="preserve"> 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>
        <w:rPr>
          <w:sz w:val="28"/>
          <w:szCs w:val="28"/>
        </w:rPr>
        <w:t>.</w:t>
      </w:r>
      <w:r w:rsidRPr="00507E10" w:rsidDel="00507E10">
        <w:rPr>
          <w:sz w:val="28"/>
          <w:szCs w:val="28"/>
        </w:rPr>
        <w:t xml:space="preserve"> 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 xml:space="preserve">При рассмотрении апелляции проверка изложенных в ней фактов </w:t>
      </w:r>
      <w:r>
        <w:rPr>
          <w:sz w:val="28"/>
          <w:szCs w:val="28"/>
        </w:rPr>
        <w:t xml:space="preserve">                </w:t>
      </w:r>
      <w:r w:rsidRPr="00BD7F59">
        <w:rPr>
          <w:sz w:val="28"/>
          <w:szCs w:val="28"/>
        </w:rPr>
        <w:t>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  <w:r w:rsidRPr="00BD7F59">
        <w:rPr>
          <w:sz w:val="28"/>
          <w:szCs w:val="28"/>
        </w:rPr>
        <w:t xml:space="preserve"> </w:t>
      </w:r>
    </w:p>
    <w:p w:rsidR="00734311" w:rsidRPr="00E62223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E62223">
        <w:rPr>
          <w:sz w:val="28"/>
          <w:szCs w:val="28"/>
        </w:rPr>
        <w:t xml:space="preserve"> помощь </w:t>
      </w:r>
      <w:proofErr w:type="gramStart"/>
      <w:r w:rsidRPr="00E62223">
        <w:rPr>
          <w:sz w:val="28"/>
          <w:szCs w:val="28"/>
        </w:rPr>
        <w:t>обучающимся</w:t>
      </w:r>
      <w:proofErr w:type="gramEnd"/>
      <w:r w:rsidRPr="00E62223">
        <w:rPr>
          <w:sz w:val="28"/>
          <w:szCs w:val="28"/>
        </w:rPr>
        <w:t xml:space="preserve"> с ограниченными возможностями здоровья.</w:t>
      </w:r>
    </w:p>
    <w:p w:rsidR="00734311" w:rsidRPr="00E62223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734311" w:rsidRPr="00E62223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34311" w:rsidRPr="00E62223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>предусмотренный расписанием ГИА (резервные дни).</w:t>
      </w:r>
      <w:proofErr w:type="gramEnd"/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  <w:r w:rsidRPr="00D94794">
        <w:t xml:space="preserve"> 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я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Pr="00D9479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734311" w:rsidRPr="00ED576C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734311" w:rsidRDefault="00734311" w:rsidP="00734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участников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734311" w:rsidRPr="00ED576C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lastRenderedPageBreak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734311" w:rsidRPr="00ED576C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734311" w:rsidRPr="00ED576C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734311" w:rsidRDefault="00734311" w:rsidP="007343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734311" w:rsidRDefault="00734311" w:rsidP="00734311">
      <w:pPr>
        <w:ind w:firstLine="709"/>
        <w:jc w:val="center"/>
        <w:rPr>
          <w:b/>
          <w:sz w:val="28"/>
          <w:szCs w:val="28"/>
        </w:rPr>
      </w:pPr>
    </w:p>
    <w:p w:rsidR="00D03BE1" w:rsidRDefault="00D03BE1" w:rsidP="00D03BE1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Дополнительные материалы для проведения экзаменов по отдельным учебным предметам. </w:t>
      </w:r>
    </w:p>
    <w:p w:rsidR="00D03BE1" w:rsidRDefault="00D03BE1" w:rsidP="00D03BE1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104"/>
        <w:gridCol w:w="2833"/>
      </w:tblGrid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b/>
                <w:bCs/>
                <w:sz w:val="28"/>
                <w:szCs w:val="28"/>
                <w:lang w:eastAsia="en-US"/>
              </w:rPr>
              <w:t xml:space="preserve">Подготовка дополнительных материалов </w:t>
            </w:r>
            <w:r w:rsidRPr="00791571">
              <w:rPr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791571">
              <w:rPr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791571">
              <w:rPr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линейка</w:t>
            </w:r>
          </w:p>
        </w:tc>
      </w:tr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линейка, карандаш, непрограммируемый калькулятор</w:t>
            </w:r>
          </w:p>
        </w:tc>
      </w:tr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proofErr w:type="spellStart"/>
            <w:r w:rsidRPr="00791571">
              <w:rPr>
                <w:sz w:val="28"/>
                <w:szCs w:val="28"/>
                <w:lang w:val="en-US" w:eastAsia="en-US"/>
              </w:rPr>
              <w:t>mp</w:t>
            </w:r>
            <w:proofErr w:type="spellEnd"/>
            <w:r w:rsidRPr="00791571">
              <w:rPr>
                <w:sz w:val="28"/>
                <w:szCs w:val="28"/>
                <w:lang w:eastAsia="en-US"/>
              </w:rPr>
              <w:t>3), орфографический словарь</w:t>
            </w: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03BE1" w:rsidTr="00B506C6">
        <w:tc>
          <w:tcPr>
            <w:tcW w:w="1843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D03BE1" w:rsidTr="00B506C6">
        <w:tc>
          <w:tcPr>
            <w:tcW w:w="1843" w:type="dxa"/>
            <w:vMerge/>
            <w:vAlign w:val="center"/>
          </w:tcPr>
          <w:p w:rsidR="00D03BE1" w:rsidRPr="00791571" w:rsidRDefault="00D03BE1" w:rsidP="00B506C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 xml:space="preserve">комплекты </w:t>
            </w:r>
            <w:r w:rsidRPr="00791571">
              <w:rPr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 w:rsidRPr="0079157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91571">
              <w:rPr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 w:rsidRPr="0079157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91571">
              <w:rPr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 w:rsidRPr="0079157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91571">
              <w:rPr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833" w:type="dxa"/>
            <w:vMerge/>
            <w:vAlign w:val="center"/>
          </w:tcPr>
          <w:p w:rsidR="00D03BE1" w:rsidRPr="00791571" w:rsidRDefault="00D03BE1" w:rsidP="00B506C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03BE1" w:rsidTr="00B506C6">
        <w:tc>
          <w:tcPr>
            <w:tcW w:w="1843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lastRenderedPageBreak/>
              <w:t>химия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D03BE1" w:rsidTr="00B506C6">
        <w:trPr>
          <w:trHeight w:val="1942"/>
        </w:trPr>
        <w:tc>
          <w:tcPr>
            <w:tcW w:w="1843" w:type="dxa"/>
            <w:vMerge/>
            <w:vAlign w:val="center"/>
          </w:tcPr>
          <w:p w:rsidR="00D03BE1" w:rsidRPr="00791571" w:rsidRDefault="00D03BE1" w:rsidP="00B506C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ОГЭ), модели экспериментальных заданий экзаменационной  работы.</w:t>
            </w:r>
          </w:p>
        </w:tc>
        <w:tc>
          <w:tcPr>
            <w:tcW w:w="2833" w:type="dxa"/>
            <w:vMerge/>
            <w:vAlign w:val="center"/>
          </w:tcPr>
          <w:p w:rsidR="00D03BE1" w:rsidRPr="00791571" w:rsidRDefault="00D03BE1" w:rsidP="00B506C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03BE1" w:rsidTr="00B506C6">
        <w:tc>
          <w:tcPr>
            <w:tcW w:w="1843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 xml:space="preserve">географические атласы для 7,8, и 9 классов </w:t>
            </w:r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791571">
              <w:rPr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D03BE1" w:rsidTr="00B506C6">
        <w:tc>
          <w:tcPr>
            <w:tcW w:w="1843" w:type="dxa"/>
            <w:vMerge/>
            <w:vAlign w:val="center"/>
          </w:tcPr>
          <w:p w:rsidR="00D03BE1" w:rsidRPr="00791571" w:rsidRDefault="00D03BE1" w:rsidP="00B506C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vAlign w:val="center"/>
          </w:tcPr>
          <w:p w:rsidR="00D03BE1" w:rsidRPr="00791571" w:rsidRDefault="00D03BE1" w:rsidP="00B50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линейка</w:t>
            </w:r>
          </w:p>
        </w:tc>
      </w:tr>
      <w:tr w:rsidR="00D03BE1" w:rsidTr="00B506C6"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791571">
              <w:rPr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которых не должно быть вступительных статей и комментариев </w:t>
            </w:r>
            <w:r w:rsidRPr="00791571">
              <w:rPr>
                <w:i/>
                <w:sz w:val="28"/>
                <w:szCs w:val="28"/>
                <w:lang w:eastAsia="en-US"/>
              </w:rPr>
              <w:t>(Перечень художественных произведений и сборников лирики выдается в пакете руководителя.</w:t>
            </w:r>
            <w:proofErr w:type="gramEnd"/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791571">
              <w:rPr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  <w:proofErr w:type="gramEnd"/>
          </w:p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3BE1" w:rsidTr="00B506C6">
        <w:trPr>
          <w:trHeight w:val="771"/>
        </w:trPr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791571">
              <w:rPr>
                <w:i/>
                <w:sz w:val="28"/>
                <w:szCs w:val="28"/>
                <w:lang w:eastAsia="en-US"/>
              </w:rPr>
              <w:t xml:space="preserve"> (для каждой аудитории), </w:t>
            </w:r>
            <w:r w:rsidRPr="00791571">
              <w:rPr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3BE1" w:rsidTr="00B506C6">
        <w:trPr>
          <w:trHeight w:val="771"/>
        </w:trPr>
        <w:tc>
          <w:tcPr>
            <w:tcW w:w="184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91571">
              <w:rPr>
                <w:bCs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5104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1571">
              <w:rPr>
                <w:sz w:val="28"/>
                <w:szCs w:val="28"/>
                <w:lang w:eastAsia="en-US"/>
              </w:rPr>
              <w:t>инструкция по правилам безопасности (для каждой аудитории), компьютер</w:t>
            </w:r>
          </w:p>
        </w:tc>
        <w:tc>
          <w:tcPr>
            <w:tcW w:w="2833" w:type="dxa"/>
          </w:tcPr>
          <w:p w:rsidR="00D03BE1" w:rsidRPr="00791571" w:rsidRDefault="00D03BE1" w:rsidP="00B506C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7B69" w:rsidRDefault="00977B69">
      <w:bookmarkStart w:id="3" w:name="_GoBack"/>
      <w:bookmarkEnd w:id="3"/>
    </w:p>
    <w:sectPr w:rsidR="0097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3B" w:rsidRDefault="00566E3B" w:rsidP="00734311">
      <w:r>
        <w:separator/>
      </w:r>
    </w:p>
  </w:endnote>
  <w:endnote w:type="continuationSeparator" w:id="0">
    <w:p w:rsidR="00566E3B" w:rsidRDefault="00566E3B" w:rsidP="007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3B" w:rsidRDefault="00566E3B" w:rsidP="00734311">
      <w:r>
        <w:separator/>
      </w:r>
    </w:p>
  </w:footnote>
  <w:footnote w:type="continuationSeparator" w:id="0">
    <w:p w:rsidR="00566E3B" w:rsidRDefault="00566E3B" w:rsidP="00734311">
      <w:r>
        <w:continuationSeparator/>
      </w:r>
    </w:p>
  </w:footnote>
  <w:footnote w:id="1">
    <w:p w:rsidR="00734311" w:rsidRDefault="00734311" w:rsidP="00734311">
      <w:pPr>
        <w:pStyle w:val="a4"/>
        <w:jc w:val="both"/>
      </w:pPr>
      <w:r w:rsidRPr="006D1DFE">
        <w:rPr>
          <w:rStyle w:val="a6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734311" w:rsidRDefault="00734311" w:rsidP="00734311">
      <w:pPr>
        <w:pStyle w:val="a4"/>
        <w:jc w:val="both"/>
      </w:pPr>
      <w:r w:rsidRPr="006D1DFE">
        <w:rPr>
          <w:rStyle w:val="a6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1"/>
    <w:rsid w:val="00566E3B"/>
    <w:rsid w:val="00734311"/>
    <w:rsid w:val="008F1B42"/>
    <w:rsid w:val="00977B69"/>
    <w:rsid w:val="00D03BE1"/>
    <w:rsid w:val="00E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31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734311"/>
    <w:rPr>
      <w:rFonts w:eastAsia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3431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rsid w:val="00734311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31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734311"/>
    <w:rPr>
      <w:rFonts w:eastAsia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3431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rsid w:val="00734311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KAB224</dc:creator>
  <cp:lastModifiedBy>KAB224</cp:lastModifiedBy>
  <cp:revision>2</cp:revision>
  <dcterms:created xsi:type="dcterms:W3CDTF">2015-02-02T09:06:00Z</dcterms:created>
  <dcterms:modified xsi:type="dcterms:W3CDTF">2015-02-02T09:35:00Z</dcterms:modified>
</cp:coreProperties>
</file>